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FA" w:rsidRPr="00A523FA" w:rsidRDefault="00A523FA" w:rsidP="00A523FA">
      <w:pPr>
        <w:ind w:firstLine="900"/>
        <w:rPr>
          <w:sz w:val="28"/>
          <w:szCs w:val="28"/>
          <w:lang w:val="uk-UA"/>
        </w:rPr>
      </w:pPr>
      <w:r w:rsidRPr="00A523FA">
        <w:rPr>
          <w:sz w:val="28"/>
          <w:szCs w:val="28"/>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5.25pt;height:38.25pt" fillcolor="blue" stroked="f">
            <v:fill color2="#f93"/>
            <v:shadow on="t" color="silver" opacity="52429f"/>
            <v:textpath style="font-family:&quot;Impact&quot;;v-text-kern:t" trim="t" fitpath="t" string=" Створення умов для розкриття"/>
          </v:shape>
        </w:pict>
      </w:r>
      <w:r w:rsidRPr="00A523FA">
        <w:rPr>
          <w:sz w:val="28"/>
          <w:szCs w:val="28"/>
          <w:lang w:val="uk-UA"/>
        </w:rPr>
        <w:pict>
          <v:shape id="_x0000_i1026" type="#_x0000_t136" style="width:510pt;height:33pt" fillcolor="blue" stroked="f">
            <v:fill color2="#f93"/>
            <v:shadow on="t" color="silver" opacity="52429f"/>
            <v:textpath style="font-family:&quot;Impact&quot;;v-text-kern:t" trim="t" fitpath="t" string=" потенційних можливостей інтелектуально"/>
          </v:shape>
        </w:pict>
      </w:r>
    </w:p>
    <w:p w:rsidR="00A523FA" w:rsidRPr="00A523FA" w:rsidRDefault="00A523FA" w:rsidP="00A523FA">
      <w:pPr>
        <w:ind w:firstLine="900"/>
        <w:rPr>
          <w:sz w:val="28"/>
          <w:szCs w:val="28"/>
          <w:lang w:val="uk-UA"/>
        </w:rPr>
      </w:pPr>
      <w:r w:rsidRPr="00A523FA">
        <w:rPr>
          <w:sz w:val="28"/>
          <w:szCs w:val="28"/>
          <w:lang w:val="uk-UA"/>
        </w:rPr>
        <w:pict>
          <v:shape id="_x0000_i1027" type="#_x0000_t136" style="width:306.75pt;height:27.75pt" fillcolor="blue" stroked="f">
            <v:fill color2="#f93"/>
            <v:shadow on="t" color="silver" opacity="52429f"/>
            <v:textpath style="font-family:&quot;Impact&quot;;v-text-kern:t" trim="t" fitpath="t" string=" обдарованих дітей"/>
          </v:shape>
        </w:pict>
      </w:r>
    </w:p>
    <w:p w:rsidR="00A523FA" w:rsidRPr="00A523FA" w:rsidRDefault="00A523FA" w:rsidP="00A523FA">
      <w:pPr>
        <w:ind w:firstLine="900"/>
        <w:jc w:val="right"/>
        <w:rPr>
          <w:sz w:val="28"/>
          <w:szCs w:val="28"/>
          <w:lang w:val="uk-UA"/>
        </w:rPr>
      </w:pPr>
    </w:p>
    <w:p w:rsidR="00A523FA" w:rsidRPr="00A523FA" w:rsidRDefault="00A523FA" w:rsidP="00A523FA">
      <w:pPr>
        <w:ind w:firstLine="900"/>
        <w:jc w:val="right"/>
        <w:rPr>
          <w:color w:val="000080"/>
          <w:sz w:val="32"/>
          <w:szCs w:val="32"/>
          <w:lang w:val="uk-UA"/>
        </w:rPr>
      </w:pPr>
      <w:r w:rsidRPr="00A523FA">
        <w:rPr>
          <w:color w:val="000080"/>
          <w:sz w:val="32"/>
          <w:szCs w:val="32"/>
          <w:lang w:val="uk-UA"/>
        </w:rPr>
        <w:t>„ А чи виросте з бруньки дерево</w:t>
      </w:r>
    </w:p>
    <w:p w:rsidR="00A523FA" w:rsidRPr="00A523FA" w:rsidRDefault="00A523FA" w:rsidP="00A523FA">
      <w:pPr>
        <w:ind w:firstLine="900"/>
        <w:jc w:val="right"/>
        <w:rPr>
          <w:color w:val="000080"/>
          <w:sz w:val="32"/>
          <w:szCs w:val="32"/>
          <w:lang w:val="uk-UA"/>
        </w:rPr>
      </w:pPr>
      <w:r w:rsidRPr="00A523FA">
        <w:rPr>
          <w:color w:val="000080"/>
          <w:sz w:val="32"/>
          <w:szCs w:val="32"/>
          <w:lang w:val="uk-UA"/>
        </w:rPr>
        <w:t>або з бутона чудова квітка,</w:t>
      </w:r>
    </w:p>
    <w:p w:rsidR="00A523FA" w:rsidRPr="00A523FA" w:rsidRDefault="00A523FA" w:rsidP="00A523FA">
      <w:pPr>
        <w:ind w:firstLine="900"/>
        <w:jc w:val="right"/>
        <w:rPr>
          <w:color w:val="000080"/>
          <w:sz w:val="32"/>
          <w:szCs w:val="32"/>
          <w:lang w:val="uk-UA"/>
        </w:rPr>
      </w:pPr>
      <w:r w:rsidRPr="00A523FA">
        <w:rPr>
          <w:color w:val="000080"/>
          <w:sz w:val="32"/>
          <w:szCs w:val="32"/>
          <w:lang w:val="uk-UA"/>
        </w:rPr>
        <w:t>залежить від того, які умови</w:t>
      </w:r>
    </w:p>
    <w:p w:rsidR="00A523FA" w:rsidRPr="00A523FA" w:rsidRDefault="00A523FA" w:rsidP="00A523FA">
      <w:pPr>
        <w:ind w:firstLine="900"/>
        <w:jc w:val="right"/>
        <w:rPr>
          <w:color w:val="000080"/>
          <w:sz w:val="32"/>
          <w:szCs w:val="32"/>
          <w:lang w:val="uk-UA"/>
        </w:rPr>
      </w:pPr>
      <w:r w:rsidRPr="00A523FA">
        <w:rPr>
          <w:color w:val="000080"/>
          <w:sz w:val="32"/>
          <w:szCs w:val="32"/>
          <w:lang w:val="uk-UA"/>
        </w:rPr>
        <w:t>ви створите для цього і як будете</w:t>
      </w:r>
    </w:p>
    <w:p w:rsidR="00A523FA" w:rsidRPr="00A523FA" w:rsidRDefault="00A523FA" w:rsidP="00A523FA">
      <w:pPr>
        <w:ind w:firstLine="900"/>
        <w:jc w:val="right"/>
        <w:rPr>
          <w:color w:val="000080"/>
          <w:sz w:val="32"/>
          <w:szCs w:val="32"/>
          <w:lang w:val="uk-UA"/>
        </w:rPr>
      </w:pPr>
      <w:r w:rsidRPr="00A523FA">
        <w:rPr>
          <w:color w:val="000080"/>
          <w:sz w:val="32"/>
          <w:szCs w:val="32"/>
          <w:lang w:val="uk-UA"/>
        </w:rPr>
        <w:t xml:space="preserve">доглядати за своїми </w:t>
      </w:r>
      <w:proofErr w:type="spellStart"/>
      <w:r w:rsidRPr="00A523FA">
        <w:rPr>
          <w:color w:val="000080"/>
          <w:sz w:val="32"/>
          <w:szCs w:val="32"/>
          <w:lang w:val="uk-UA"/>
        </w:rPr>
        <w:t>підопічними”</w:t>
      </w:r>
      <w:proofErr w:type="spellEnd"/>
    </w:p>
    <w:p w:rsidR="00A523FA" w:rsidRPr="00A523FA" w:rsidRDefault="00A523FA" w:rsidP="00A523FA">
      <w:pPr>
        <w:ind w:firstLine="900"/>
        <w:jc w:val="right"/>
        <w:rPr>
          <w:color w:val="000080"/>
          <w:sz w:val="32"/>
          <w:szCs w:val="32"/>
          <w:lang w:val="uk-UA"/>
        </w:rPr>
      </w:pPr>
      <w:proofErr w:type="spellStart"/>
      <w:r w:rsidRPr="00A523FA">
        <w:rPr>
          <w:color w:val="000080"/>
          <w:sz w:val="32"/>
          <w:szCs w:val="32"/>
          <w:lang w:val="uk-UA"/>
        </w:rPr>
        <w:t>Ібука</w:t>
      </w:r>
      <w:proofErr w:type="spellEnd"/>
      <w:r w:rsidRPr="00A523FA">
        <w:rPr>
          <w:color w:val="000080"/>
          <w:sz w:val="32"/>
          <w:szCs w:val="32"/>
          <w:lang w:val="uk-UA"/>
        </w:rPr>
        <w:t xml:space="preserve"> </w:t>
      </w:r>
      <w:proofErr w:type="spellStart"/>
      <w:r w:rsidRPr="00A523FA">
        <w:rPr>
          <w:color w:val="000080"/>
          <w:sz w:val="32"/>
          <w:szCs w:val="32"/>
          <w:lang w:val="uk-UA"/>
        </w:rPr>
        <w:t>Масару</w:t>
      </w:r>
      <w:proofErr w:type="spellEnd"/>
      <w:r w:rsidRPr="00A523FA">
        <w:rPr>
          <w:color w:val="000080"/>
          <w:sz w:val="32"/>
          <w:szCs w:val="32"/>
          <w:lang w:val="uk-UA"/>
        </w:rPr>
        <w:t>.</w:t>
      </w:r>
    </w:p>
    <w:p w:rsidR="00A523FA" w:rsidRPr="00A523FA" w:rsidRDefault="00A523FA" w:rsidP="00A523FA">
      <w:pPr>
        <w:ind w:firstLine="900"/>
        <w:jc w:val="center"/>
        <w:rPr>
          <w:color w:val="000000"/>
          <w:sz w:val="28"/>
          <w:szCs w:val="28"/>
          <w:lang w:val="uk-UA"/>
        </w:rPr>
      </w:pPr>
    </w:p>
    <w:p w:rsidR="00A523FA" w:rsidRPr="00A523FA" w:rsidRDefault="00A523FA" w:rsidP="00A523FA">
      <w:pPr>
        <w:ind w:firstLine="900"/>
        <w:jc w:val="both"/>
        <w:rPr>
          <w:color w:val="000000"/>
          <w:sz w:val="28"/>
          <w:szCs w:val="28"/>
          <w:lang w:val="uk-UA"/>
        </w:rPr>
      </w:pPr>
      <w:r w:rsidRPr="00A523FA">
        <w:rPr>
          <w:color w:val="000000"/>
          <w:sz w:val="28"/>
          <w:szCs w:val="28"/>
          <w:lang w:val="uk-UA"/>
        </w:rPr>
        <w:t>В сільській школі з невеликою наповнюваністю класів, де майже немає профільного навчання, потрібний свій індивідуальний підхід до роботи з інтелектуально обдарованими дітьми. Одним з найважливіших напрямів роботи для максимального розвитку обдарованості є проведення олімпіад, конкурсів, турнірів ( додаток 4). Із задоволенням учні готуються до проведення оглядів учнівської творчості, спрямованих на різнобічний розвиток особистості, задоволення її інтересів. Тематика проведення таких оглядів різноманітна: презентація творчих робіт, рефератів, проведення виставок. Велику роль у розвитку творчих здібностей відіграють заняття в гуртках та відвідування факультативних занять.</w:t>
      </w:r>
    </w:p>
    <w:p w:rsidR="00A523FA" w:rsidRPr="00A523FA" w:rsidRDefault="00A523FA" w:rsidP="00A523FA">
      <w:pPr>
        <w:ind w:firstLine="900"/>
        <w:jc w:val="both"/>
        <w:rPr>
          <w:color w:val="000000"/>
          <w:sz w:val="28"/>
          <w:szCs w:val="28"/>
          <w:lang w:val="uk-UA"/>
        </w:rPr>
      </w:pPr>
      <w:r w:rsidRPr="00A523FA">
        <w:rPr>
          <w:color w:val="000000"/>
          <w:sz w:val="28"/>
          <w:szCs w:val="28"/>
          <w:lang w:val="uk-UA"/>
        </w:rPr>
        <w:t xml:space="preserve">Враховувати особливості обдарованих дітей треба на всіх етапах навчання і в першу чергу під час уроку. Так, при поясненні навчального матеріалу я завжди спираюсь на ініціативу і можливості таких дітей при організації бесіди, спрямованої на активне засвоєння нового матеріалу, при вирішенні створюваних упродовж уроку проблемних ситуацій. Але особливо великі можливості для врахування особливостей обдарованих дітей відкриваються при організації самостійної роботи на уроці, при визначенні обсягу, форм і методів навчання до стимулювання і контролю, що може забезпечити результативність процесу їхнього навчання як в умовах школи, так і в подальшому </w:t>
      </w:r>
      <w:proofErr w:type="spellStart"/>
      <w:r w:rsidRPr="00A523FA">
        <w:rPr>
          <w:color w:val="000000"/>
          <w:sz w:val="28"/>
          <w:szCs w:val="28"/>
          <w:lang w:val="uk-UA"/>
        </w:rPr>
        <w:t>ВУЗі</w:t>
      </w:r>
      <w:proofErr w:type="spellEnd"/>
      <w:r w:rsidRPr="00A523FA">
        <w:rPr>
          <w:color w:val="000000"/>
          <w:sz w:val="28"/>
          <w:szCs w:val="28"/>
          <w:lang w:val="uk-UA"/>
        </w:rPr>
        <w:t>.</w:t>
      </w:r>
    </w:p>
    <w:p w:rsidR="00A523FA" w:rsidRPr="00A523FA" w:rsidRDefault="00A523FA" w:rsidP="00A523FA">
      <w:pPr>
        <w:ind w:firstLine="900"/>
        <w:jc w:val="both"/>
        <w:rPr>
          <w:color w:val="000000"/>
          <w:sz w:val="28"/>
          <w:szCs w:val="28"/>
          <w:lang w:val="uk-UA"/>
        </w:rPr>
      </w:pPr>
      <w:r w:rsidRPr="00A523FA">
        <w:rPr>
          <w:color w:val="000000"/>
          <w:sz w:val="28"/>
          <w:szCs w:val="28"/>
          <w:lang w:val="uk-UA"/>
        </w:rPr>
        <w:t xml:space="preserve">Контроль за результатами навчання обдарованих учнів також має свої особливості, що випливають зі специфіки їх навчальних можливостей. Я намагаюсь не опитувати таких учнів досить часто. Застосовую проблемно-тематичне опитування по цілим розділам, а у старших класах – залікові співбесіди. Контроль спрямовую не стільки на те, щоб виявити виконане чи невиконане завдання, скільки на стимулювання поглибленого вивчення матеріалу, його систематизацію, на розвиток творчих здібностей учнів. Підвищені вимоги ставлю до культурологічного мислення, виділення істотних елементів змісту, вмінню робити узагальнюючі висновки. Все це </w:t>
      </w:r>
      <w:r w:rsidRPr="00A523FA">
        <w:rPr>
          <w:color w:val="000000"/>
          <w:sz w:val="28"/>
          <w:szCs w:val="28"/>
          <w:lang w:val="uk-UA"/>
        </w:rPr>
        <w:lastRenderedPageBreak/>
        <w:t>корисно не тільки для цих учнів, але й для всього класу, який слухає їхні відповіді. Особливого значення надаю вмінню застосовувати набуті знання при розв’язуванні не типових завдань.</w:t>
      </w:r>
    </w:p>
    <w:p w:rsidR="00A523FA" w:rsidRPr="00A523FA" w:rsidRDefault="00A523FA" w:rsidP="00A523FA">
      <w:pPr>
        <w:ind w:firstLine="900"/>
        <w:jc w:val="both"/>
        <w:rPr>
          <w:color w:val="000000"/>
          <w:sz w:val="28"/>
          <w:szCs w:val="28"/>
          <w:lang w:val="uk-UA"/>
        </w:rPr>
      </w:pPr>
      <w:r w:rsidRPr="00A523FA">
        <w:rPr>
          <w:color w:val="000000"/>
          <w:sz w:val="28"/>
          <w:szCs w:val="28"/>
          <w:lang w:val="uk-UA"/>
        </w:rPr>
        <w:t>При аналізі відповідей обдарованих і здібних дітей обов’язково визначаю їхні недоліки, пам’ятаючи про необхідність запобігти у цих учнів завищеної самооцінки.</w:t>
      </w:r>
    </w:p>
    <w:p w:rsidR="00A523FA" w:rsidRPr="00A523FA" w:rsidRDefault="00A523FA" w:rsidP="00A523FA">
      <w:pPr>
        <w:ind w:firstLine="900"/>
        <w:jc w:val="both"/>
        <w:rPr>
          <w:color w:val="000000"/>
          <w:sz w:val="28"/>
          <w:szCs w:val="28"/>
          <w:lang w:val="uk-UA"/>
        </w:rPr>
      </w:pPr>
      <w:r w:rsidRPr="00A523FA">
        <w:rPr>
          <w:color w:val="000000"/>
          <w:sz w:val="28"/>
          <w:szCs w:val="28"/>
          <w:lang w:val="uk-UA"/>
        </w:rPr>
        <w:t>Такий підхід до контролю за підготовкою учнів сприяє постійному підтриманню більш високого тонусу їх навчальної діяльності, надає їм можливість здійснити об’єктивний самоаналіз, виявити сильні і слабкі сторони своєї навчальної роботи, розвинути свої здібності. Таким чином, тільки продумане врахування навчальних можливостей обдарованих і здібних школярів при організації всіх елементів навчального процесу – від конкретизації завдань, вибору змісту, характеру домашніх завдань, а також при опитуванні на наступних уроках.</w:t>
      </w:r>
    </w:p>
    <w:p w:rsidR="00A523FA" w:rsidRPr="00A523FA" w:rsidRDefault="00A523FA" w:rsidP="00A523FA">
      <w:pPr>
        <w:ind w:firstLine="900"/>
        <w:jc w:val="both"/>
        <w:rPr>
          <w:color w:val="000000"/>
          <w:sz w:val="28"/>
          <w:szCs w:val="28"/>
          <w:lang w:val="uk-UA"/>
        </w:rPr>
      </w:pPr>
      <w:r w:rsidRPr="00A523FA">
        <w:rPr>
          <w:color w:val="000000"/>
          <w:sz w:val="28"/>
          <w:szCs w:val="28"/>
          <w:lang w:val="uk-UA"/>
        </w:rPr>
        <w:t>Зазначені вище особливості навчально-пізнавальної діяльності обдарованих і здібних школярів вимагають, щоб зміст їхньої самостійної роботи був на рівні максимальних вимог навчальної програми.</w:t>
      </w:r>
    </w:p>
    <w:p w:rsidR="00A523FA" w:rsidRPr="00A523FA" w:rsidRDefault="00A523FA" w:rsidP="00A523FA">
      <w:pPr>
        <w:ind w:firstLine="900"/>
        <w:jc w:val="both"/>
        <w:rPr>
          <w:color w:val="000000"/>
          <w:sz w:val="28"/>
          <w:szCs w:val="28"/>
          <w:lang w:val="uk-UA"/>
        </w:rPr>
      </w:pPr>
      <w:r w:rsidRPr="00A523FA">
        <w:rPr>
          <w:color w:val="000000"/>
          <w:sz w:val="28"/>
          <w:szCs w:val="28"/>
          <w:lang w:val="uk-UA"/>
        </w:rPr>
        <w:t>У процесі самостійної роботи диференціюю не тільки завдання, але й характер допомоги. Я заохочую їхні запитання, бажання обмінятися думками. Це допомагає розвинути в обдарованих і здібних дітей пізнавальний інтерес, пізнавальну активність.</w:t>
      </w:r>
    </w:p>
    <w:p w:rsidR="00A523FA" w:rsidRPr="00A523FA" w:rsidRDefault="00A523FA" w:rsidP="00A523FA">
      <w:pPr>
        <w:ind w:firstLine="900"/>
        <w:jc w:val="both"/>
        <w:rPr>
          <w:color w:val="000000"/>
          <w:sz w:val="28"/>
          <w:szCs w:val="28"/>
          <w:lang w:val="uk-UA"/>
        </w:rPr>
      </w:pPr>
      <w:r w:rsidRPr="00A523FA">
        <w:rPr>
          <w:color w:val="000000"/>
          <w:sz w:val="28"/>
          <w:szCs w:val="28"/>
          <w:lang w:val="uk-UA"/>
        </w:rPr>
        <w:t>Інакше стимулюю і самостійну роботу цих учнів. Я вважаю, що прийоми гри, наочності при роботі з ними вже не посідають значного місця. Основний акцент роблю на формування мотивів, що сприяють отриманню учнями задоволення від подолання пізнавальних труднощів, творчого пошуку.</w:t>
      </w:r>
    </w:p>
    <w:p w:rsidR="00A523FA" w:rsidRPr="00A523FA" w:rsidRDefault="00A523FA" w:rsidP="00A523FA">
      <w:pPr>
        <w:ind w:firstLine="900"/>
        <w:jc w:val="both"/>
        <w:rPr>
          <w:color w:val="000000"/>
          <w:sz w:val="28"/>
          <w:szCs w:val="28"/>
          <w:lang w:val="uk-UA"/>
        </w:rPr>
      </w:pPr>
      <w:r w:rsidRPr="00A523FA">
        <w:rPr>
          <w:color w:val="000000"/>
          <w:sz w:val="28"/>
          <w:szCs w:val="28"/>
          <w:lang w:val="uk-UA"/>
        </w:rPr>
        <w:t>Для домашньої роботи цим школярам даю більш складні завдання – опрацювання додаткової літератури, розв’язування нестандартних  завдань і завдань підвищеної складності. Важливою формою самостійної роботи є виконання наукових та пошукових робіт, що ґрунтуються на вивченні і опрацюванні навчальної, наукової, науково-популярної літератури і сприяє формуванню у школярів інтересу до предмета.</w:t>
      </w:r>
    </w:p>
    <w:p w:rsidR="00A523FA" w:rsidRPr="00A523FA" w:rsidRDefault="00A523FA" w:rsidP="00A523FA">
      <w:pPr>
        <w:ind w:firstLine="900"/>
        <w:jc w:val="both"/>
        <w:rPr>
          <w:color w:val="000000"/>
          <w:sz w:val="28"/>
          <w:szCs w:val="28"/>
          <w:lang w:val="uk-UA"/>
        </w:rPr>
      </w:pPr>
      <w:r w:rsidRPr="00A523FA">
        <w:rPr>
          <w:color w:val="000000"/>
          <w:sz w:val="28"/>
          <w:szCs w:val="28"/>
          <w:lang w:val="uk-UA"/>
        </w:rPr>
        <w:t>Таким чином, урочна і позакласна робота обдарованих і здібних школярів має бути не просто більшою за обсягом, а носити якісно інший характер, зорієнтований на переважний розвиток умінь і навичок самостійної роботи, творчого застосування знань.</w:t>
      </w:r>
    </w:p>
    <w:p w:rsidR="00A523FA" w:rsidRPr="00A523FA" w:rsidRDefault="00A523FA" w:rsidP="00A523FA">
      <w:pPr>
        <w:ind w:firstLine="900"/>
        <w:jc w:val="both"/>
        <w:rPr>
          <w:color w:val="000000"/>
          <w:sz w:val="28"/>
          <w:szCs w:val="28"/>
          <w:lang w:val="uk-UA"/>
        </w:rPr>
      </w:pPr>
      <w:r w:rsidRPr="00A523FA">
        <w:rPr>
          <w:color w:val="000000"/>
          <w:sz w:val="28"/>
          <w:szCs w:val="28"/>
          <w:lang w:val="uk-UA"/>
        </w:rPr>
        <w:t>Для створення необхідних умов розвитку обдарованих дітей велику роль відіграє матеріально-технічне забезпечення школи:</w:t>
      </w:r>
    </w:p>
    <w:p w:rsidR="00A523FA" w:rsidRPr="00A523FA" w:rsidRDefault="00A523FA" w:rsidP="00A523FA">
      <w:pPr>
        <w:numPr>
          <w:ilvl w:val="0"/>
          <w:numId w:val="1"/>
        </w:numPr>
        <w:jc w:val="both"/>
        <w:rPr>
          <w:color w:val="000000"/>
          <w:sz w:val="28"/>
          <w:szCs w:val="28"/>
          <w:lang w:val="uk-UA"/>
        </w:rPr>
      </w:pPr>
      <w:r w:rsidRPr="00A523FA">
        <w:rPr>
          <w:color w:val="000000"/>
          <w:sz w:val="28"/>
          <w:szCs w:val="28"/>
          <w:lang w:val="uk-UA"/>
        </w:rPr>
        <w:t>комплектування відповідним чином шкільної бібліотеки;</w:t>
      </w:r>
    </w:p>
    <w:p w:rsidR="00A523FA" w:rsidRPr="00A523FA" w:rsidRDefault="00A523FA" w:rsidP="00A523FA">
      <w:pPr>
        <w:numPr>
          <w:ilvl w:val="0"/>
          <w:numId w:val="1"/>
        </w:numPr>
        <w:jc w:val="both"/>
        <w:rPr>
          <w:color w:val="000000"/>
          <w:sz w:val="28"/>
          <w:szCs w:val="28"/>
          <w:lang w:val="uk-UA"/>
        </w:rPr>
      </w:pPr>
      <w:r w:rsidRPr="00A523FA">
        <w:rPr>
          <w:color w:val="000000"/>
          <w:sz w:val="28"/>
          <w:szCs w:val="28"/>
          <w:lang w:val="uk-UA"/>
        </w:rPr>
        <w:t>обладнання технічними засобами навчальних кабінетів;</w:t>
      </w:r>
    </w:p>
    <w:p w:rsidR="00A523FA" w:rsidRPr="00A523FA" w:rsidRDefault="00A523FA" w:rsidP="00A523FA">
      <w:pPr>
        <w:numPr>
          <w:ilvl w:val="0"/>
          <w:numId w:val="1"/>
        </w:numPr>
        <w:jc w:val="both"/>
        <w:rPr>
          <w:color w:val="000000"/>
          <w:sz w:val="28"/>
          <w:szCs w:val="28"/>
          <w:lang w:val="uk-UA"/>
        </w:rPr>
      </w:pPr>
      <w:r w:rsidRPr="00A523FA">
        <w:rPr>
          <w:color w:val="000000"/>
          <w:sz w:val="28"/>
          <w:szCs w:val="28"/>
          <w:lang w:val="uk-UA"/>
        </w:rPr>
        <w:t>комп’ютеризація навчального процесу з метою створення банку даних;</w:t>
      </w:r>
    </w:p>
    <w:p w:rsidR="00A523FA" w:rsidRPr="00A523FA" w:rsidRDefault="00A523FA" w:rsidP="00A523FA">
      <w:pPr>
        <w:numPr>
          <w:ilvl w:val="0"/>
          <w:numId w:val="1"/>
        </w:numPr>
        <w:jc w:val="both"/>
        <w:rPr>
          <w:color w:val="000000"/>
          <w:sz w:val="28"/>
          <w:szCs w:val="28"/>
          <w:lang w:val="uk-UA"/>
        </w:rPr>
      </w:pPr>
      <w:r w:rsidRPr="00A523FA">
        <w:rPr>
          <w:color w:val="000000"/>
          <w:sz w:val="28"/>
          <w:szCs w:val="28"/>
          <w:lang w:val="uk-UA"/>
        </w:rPr>
        <w:t>забезпечення необхідним обладнанням для роботи гуртків, секцій;</w:t>
      </w:r>
    </w:p>
    <w:p w:rsidR="00A523FA" w:rsidRPr="00A523FA" w:rsidRDefault="00A523FA" w:rsidP="00A523FA">
      <w:pPr>
        <w:numPr>
          <w:ilvl w:val="0"/>
          <w:numId w:val="1"/>
        </w:numPr>
        <w:jc w:val="both"/>
        <w:rPr>
          <w:color w:val="000000"/>
          <w:sz w:val="28"/>
          <w:szCs w:val="28"/>
          <w:lang w:val="uk-UA"/>
        </w:rPr>
      </w:pPr>
      <w:r w:rsidRPr="00A523FA">
        <w:rPr>
          <w:color w:val="000000"/>
          <w:sz w:val="28"/>
          <w:szCs w:val="28"/>
          <w:lang w:val="uk-UA"/>
        </w:rPr>
        <w:t>формування спонсорського фінансування.</w:t>
      </w:r>
    </w:p>
    <w:p w:rsidR="00A523FA" w:rsidRPr="00A523FA" w:rsidRDefault="00A523FA" w:rsidP="00A523FA">
      <w:pPr>
        <w:jc w:val="both"/>
        <w:rPr>
          <w:color w:val="000000"/>
          <w:sz w:val="28"/>
          <w:szCs w:val="28"/>
          <w:lang w:val="uk-UA"/>
        </w:rPr>
      </w:pPr>
    </w:p>
    <w:p w:rsidR="00A523FA" w:rsidRDefault="00A523FA" w:rsidP="00A523FA">
      <w:pPr>
        <w:jc w:val="both"/>
        <w:rPr>
          <w:b/>
          <w:color w:val="000000"/>
          <w:sz w:val="28"/>
          <w:szCs w:val="28"/>
          <w:lang w:val="uk-UA"/>
        </w:rPr>
      </w:pPr>
    </w:p>
    <w:p w:rsidR="00A523FA" w:rsidRDefault="00A523FA" w:rsidP="00A523FA">
      <w:pPr>
        <w:jc w:val="both"/>
        <w:rPr>
          <w:b/>
          <w:color w:val="000000"/>
          <w:sz w:val="28"/>
          <w:szCs w:val="28"/>
          <w:lang w:val="uk-UA"/>
        </w:rPr>
      </w:pPr>
    </w:p>
    <w:p w:rsidR="00A523FA" w:rsidRDefault="00A523FA" w:rsidP="00A523FA">
      <w:pPr>
        <w:jc w:val="both"/>
        <w:rPr>
          <w:b/>
          <w:color w:val="000000"/>
          <w:sz w:val="28"/>
          <w:szCs w:val="28"/>
          <w:lang w:val="uk-UA"/>
        </w:rPr>
      </w:pPr>
    </w:p>
    <w:p w:rsidR="00D00110" w:rsidRDefault="00D00110"/>
    <w:sectPr w:rsidR="00D00110" w:rsidSect="00D001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56B8E"/>
    <w:multiLevelType w:val="hybridMultilevel"/>
    <w:tmpl w:val="250ED800"/>
    <w:lvl w:ilvl="0" w:tplc="3A0C55DA">
      <w:numFmt w:val="bullet"/>
      <w:lvlText w:val=""/>
      <w:lvlJc w:val="left"/>
      <w:pPr>
        <w:tabs>
          <w:tab w:val="num" w:pos="1260"/>
        </w:tabs>
        <w:ind w:left="1260" w:hanging="360"/>
      </w:pPr>
      <w:rPr>
        <w:rFonts w:ascii="Symbol" w:eastAsia="Times New Roman" w:hAnsi="Symbol" w:cs="Times New Roman" w:hint="default"/>
        <w:b/>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23FA"/>
    <w:rsid w:val="002B6280"/>
    <w:rsid w:val="00A523FA"/>
    <w:rsid w:val="00D00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3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2016-02-07T13:49:00Z</dcterms:created>
  <dcterms:modified xsi:type="dcterms:W3CDTF">2016-02-07T13:49:00Z</dcterms:modified>
</cp:coreProperties>
</file>