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22" w:rsidRPr="004F5622" w:rsidRDefault="004F5622" w:rsidP="004F5622">
      <w:pPr>
        <w:spacing w:after="0"/>
        <w:ind w:left="566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Затверджую</w:t>
      </w:r>
    </w:p>
    <w:p w:rsidR="004F5622" w:rsidRPr="004F5622" w:rsidRDefault="004F5622" w:rsidP="004F5622">
      <w:pPr>
        <w:spacing w:after="0"/>
        <w:ind w:left="566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Наказ Міністерства освіти</w:t>
      </w:r>
    </w:p>
    <w:p w:rsidR="004F5622" w:rsidRPr="004F5622" w:rsidRDefault="004F5622" w:rsidP="004F5622">
      <w:pPr>
        <w:spacing w:after="0"/>
        <w:ind w:left="566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 науки України</w:t>
      </w:r>
    </w:p>
    <w:p w:rsidR="004F5622" w:rsidRPr="004F5622" w:rsidRDefault="004F5622" w:rsidP="004F5622">
      <w:pPr>
        <w:spacing w:after="0"/>
        <w:ind w:left="5664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від 23 червня 2000 р. N 240</w:t>
      </w:r>
    </w:p>
    <w:p w:rsidR="004F5622" w:rsidRPr="004F5622" w:rsidRDefault="004F5622" w:rsidP="004F5622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5622" w:rsidRPr="004F5622" w:rsidRDefault="004F5622" w:rsidP="004F5622">
      <w:pPr>
        <w:spacing w:after="0"/>
        <w:jc w:val="center"/>
        <w:rPr>
          <w:rFonts w:eastAsia="Times New Roman" w:cs="Times New Roman"/>
          <w:sz w:val="24"/>
          <w:szCs w:val="24"/>
          <w:lang w:eastAsia="ru-RU"/>
        </w:rPr>
      </w:pPr>
      <w:bookmarkStart w:id="0" w:name="_GoBack"/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Інструкція з ведення ділової документації у загальноосвітніх навчальних закладах I – III ступені</w:t>
      </w:r>
      <w:proofErr w:type="gramStart"/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в</w:t>
      </w:r>
      <w:proofErr w:type="gramEnd"/>
    </w:p>
    <w:bookmarkEnd w:id="0"/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1. Загальні положення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1.1. Інструкція розроблена відповідно до вимог Закону України “Про загальну середню освіту”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651-14 ).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1.2. Інструкція встановлює правила документування діяльності загальноосвітніх навчальних закладів I – III ступенів незалежно від їх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ідпорядкування, типів та форм власності (далі – загальноосвітні навчальні заклади) і регламентує порядок роботи з документами з моменту їх створення або надходження, до відправлення чи передачі в архів. 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1.3. Інструкція визначає порядок ведення загального діловодства, її положення поширюються на всю ділову документацію, в тому числі створювану за допомогою персональних комп’ютерів (ПК).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1.4.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Дотримання правил і рекомендацій щодо порядку здійснення ділових процесів, встановлених цією Інструкцією, є обов’язковими для всіх керівників та педагогічних працівників загальноосвітніх навчальних закладів. Педагогічні працівники, прийняті на роботу, повинні бути ознайомлені з вимогами Інструкції і виконувати її вимоги.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1.5. Діловодство в загальноосвітніх навчальних закладах ведеться призначеною для цього відповідальною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особою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1.6.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Вся ділова документація зберігається у спеціально обладнаних шафах чи сейфах і не повинна мати доступу сторонніх осіб.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1.7. Вся ділова документація ведеться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державною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мовою. У місцях компактного проживання громадян, які належать до національних меншин, у внутрішньому веденні ділової документації може використовуватися поряд з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державною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мовою мова відповідної національної меншини у порядку, встановленому чиним законодавством.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1.8. Вказівки щодо оформлення записів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книгах і журналах встановленого зразка подані на перших сторінках цих документів.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1.9. Всі книги та журнали (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кр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ім класних), що ведуться у загальноосвітніх навчальних закладах, обов’язково поаркушно пронумеровуються, прошнуровуються, підписуються керівником і скріплюються печаткою.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1.10. Ділові папери, які надходять до загальноосвітнього навчального закладу, чи відправляються з нього, реєструються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журналах вхідного і вихідного листування. У вихідному листуванні (вихідній документації) виправлення не допускаються. Допущені виправлення у поточній діловій </w:t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документації застерігаються і скріплюються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ідписом відповідальної особи та печаткою.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1.11. Керівники загальноосвітніх навчальних закладі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зобов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’язані всебічно сприяти раціоналізації, механізації та автоматизації ділових процесів, вживати заходів до оснащення діловодства за допомогою персональних комп’ютерів (ПК); здійснювати контроль за обов’язковим дотриманням Інструкцій з ведення ділової документації у загальноосвітньому навчальному закладі.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1.12.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При зм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іні керівника загальноосвітнього навчального закладу вся ділова документація передається відповідно до Інструкції, про що робиться запис в акті прийому-передачі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1.13.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ісля закінчення терміну зберігання тих чи інших документів, які не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ідлягають передачі архівним установам, списується комісією, яку призначає керівник загальноосвітнього навчального закладу. На списану документацію комі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складає відповідний акт. Списана документація знищується.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2. Документування діяльності загальноосвітнього навчального закладу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2.1. Документування діяльності навчального закладу полягає у фіксації за встановленими правилами на паперових або магнітних носіях управлінських дій, тобто у створенні документі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2.2.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ідставою для створення документів є необхідність засвідчення наявності та змісту управлінських дій, переведення, зберігання і використання інформації протягом певного часу або постійно.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2.3. Вирішення питань щодо організації та проведення навчально-виховного процесу, господарсько-фінансової роботи, а також питань, які стосуються всіх або окремих осіб, в т.ч. і учнів, викладаються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наказах, розпорядженнях, дорученнях.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2.4. В усіх випадках, документи, що видаються на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ідставі розпорядчих документів вищого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івня, повинні мати посилання на них із зазначенням найменування цих документів, дати їх підписання та номеру реєстрації.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2.5. Обговорення питань і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ішення, що приймаються на засіданнях педагогічної ради, загальних зборах колективу тощо, фіксуються у протоколах.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3. Складання та оформлення документі</w:t>
      </w:r>
      <w:proofErr w:type="gramStart"/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3.1. Для складання документів повинен використовуватися папі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форматів А4 (210 х 297 мм) та А5 (146 х 210 мм).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Складання документів на папері довільного формату не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дозволяється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3.2. Змі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ст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документів викладається стисло, грамотно, зрозуміло і об’єктивно, без повторів та вживання слів і зворотів, які не несуть смислового навантаження. Довільне скорочення найменувань установ і окремих слів не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допускається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. Текст документа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оформляється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у вигляді </w:t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суцільного складного тексту, таблиці або поєднання цих форм. Суцільний складний текст документа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містить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граматично і логічно узгоджену інформацію.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Як правило, тексти розпорядчих документів і листів складаються з двох частин. У першій частині зазначається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ідстава або обгрунтування для складання документа, а в другій частині – висновки, пропозиції,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ішення, розпорядження або прохання.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В окремих випадках текст документа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може м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істити лише одну резолютивну частину, наприклад, наказ – розпорядчу частину без констатуючої, лист-прохання без пояснення.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3.3. Відповідальність за змі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ст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, правильну підготовку та оформлення документів покладається на керівника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3.4. Документи повинні мати встановлені реквізити і сталий порядок їх розміщення: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найменування загальноосвітнього навчального закладу;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ідентифікаційний код;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назва виду документа, заголовок тексту;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- адресу і дату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ідписання документа;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посвідчення документа (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ідпис, затвердження, печатка).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3.5. Назва виду документа (наказ, розпорядження тощо) зазначається друкарським або машинописним способами.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3.6. До кожного виду документа обов’язково складається заголовок (короткий змі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ст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). Він має бути максимально коротким і ємним, точно передавати змі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ст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тексту. Формулювати заголовок тексту слід за допомогою віддієслівного іменника, відповідаючи на питання “про що?”, наприклад, “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Про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вивчення…”, “Про розподіл педагогічного навантаження…” тощо.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Якщо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документі йдеться про кілька питань, заголовок може бути узагальненим.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3.7. На документи, які створюються за допомогою ПК і табуляторів, поширюються всі основні вимоги щодо оформлення всіх документів: застосування бланка,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ідписання, датування тощо.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Додатковою вимогою до оформлення документів є обов’язкова розшифровка всіх понять, відображених цифрами, значками та іншим способом. Розшифровка вказується на зворотному боці або додається до документа.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Текст документа, надрукований на папері формату А5,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дозволяється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подавати без заголовка.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3.8. Всі документи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ідлягають датуванню. Датою документа є дата його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ідписання.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3.9. Дати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ідписання і затвердження документа, а також ті, що в тексті, повинні оформлятися цифровим способом. Елементи дати </w:t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записуються трьома парами арабських цифр в один рядок у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посл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ідовності: число, місяць, рік. Наприклад, 12 січня 2000 року слід писати – 12.01.2000.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Якщо порядковий номер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м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ісяця або числа складається з однієї цифри, то перед нею ставиться 0. Наприклад, 5 січня 2000 року слід писати – 05.01.2000.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У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документах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, що містять відомості фінансового характеру, застосовується словесно-цифровий спосіб оформлення дат: 30 січня 2000 року.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3.10. Дата на документі проставляється особою, яка його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ідписує або затверджує, в момент підписання або затвердження.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Дата затвердження документа зазначається у відповідній графі.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3.11. Дата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ідписання проставляється в лівій верхній частині документа разом з індексом на спеціально відведеному для цього місці на бланку. Якщо документ складено не на бланку, його дата проставляється нижче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ідпису, ліворуч.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3.12. До складу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ідпису входять: найменування посади, особистий підпис, ініціали та прізвище особи, яка підписала документ.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3.13. Затвердження документа здійснюється двома способами: грифом “Затверджено”, або виданням відповідного розпорядчого документа (наказу, розпорядження тощо). Обидва способи затвердження мають однакову силу.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3.14. Елементами грифа затвердження є: слово “Затверджено”, найменування посади, особистий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ідпис, ініціали і прізвище особи, яка затвердила документ, дата затвердження. Гриф затвердження розміщується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правому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верхньому куті документа.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3.15. На документах, що засвідчують права громадян, юридичних осіб або фіксують факти втрати грошових коштів і матеріальних цінностей,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 відповідальної особи завіряється печаткою.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3.16. Печатка проставляється таким чином, щоб вона захоплювала останні кілька літер найменування посади особи, яка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ідписала документ.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3.17. Додатки доповнюють, пояснюють окремі питання документа або документ в цілому. Про наявність додатків зазначається у тексті або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ісля тексту документа перед підписом. Назва додатка у тексті документа повинна відповідати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назв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 самого додатка.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3.18. Реквізити документа відокремлюються один від одного 2 – 3 міжрядковими інтервалами.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3.19. Назву виду документа друкують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великими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літерами. Крапка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кінці заголовка не ставиться.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3.20. Розшифровку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ідпису в реквізиті “Підпис” друкують на рівні останнього рядка найменування посади без пропуску між ініціалами і прізвищем.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3.21. Накази складаються на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ідставі ретельного і всебічного вивчення порушених у них питань.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ішення, які оформляються наказами, повинні бути конкретними і реальними, відповідати діючому законодавству, забезпечуватися необхідними матеріально-технічними засобами і фінансуванням.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3.22. При оформленні наказі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та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інших розпорядчих документів необхідно керуватися такими правилами: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тексти наказів та інших розпорядчих документів друкуються на бланках формату А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через 1,5 міжрядкових інтервали;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- розпорядча частина наказів починається словом “наказую”, яке відокремлюється від попереднього та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посл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ідуючого текстів 2 міжрядковими інтервалами, друкують великими буквами без прогалин від межі лівого поля (від нульового положення табулятора) незалежно від повноти попереднього рядка;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пропозиції, що містяться в наказі, необхідно узгоджувати з раніше виданими документами з цього питання, щоб уникнути повторів або суперечностей;</w:t>
      </w:r>
    </w:p>
    <w:p w:rsidR="004F5622" w:rsidRPr="004F5622" w:rsidRDefault="004F5622" w:rsidP="004F5622">
      <w:pPr>
        <w:spacing w:after="0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визначати конкретних виконавців та реальні терміни виконання наказів та інших розпорядчих документі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3.23. Всі накази та інші розпорядчі документи, в тому числі протоколи засідання педагогічної ради нумеруються упродовж календарного року, а протоколи виборних органів –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межах їх повноважень.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3.24. Протокол – документ, який фіксує хід обговорення питань і прийняття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ішень на засіданнях педагогічної ради, зборах, нарадах та органах шкільного самоврядування тощо.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3.25. У протоколі вказують такі реквізити: назва виду документа, дату проведення заходу, заголовок до тексту, текст,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ідписи голови і секретаря засідання.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3.26. Текст протоколу складається з двох частин: вступної і основної. Вступна частина складається з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ізвищ та ініціалів голови і секретаря засідання, кількості присутніх і відсутніх на засіданнях, порядку денного засідання з переліком питань, які підлягають розгляду та зазначенням доповідачів по кожному з них. Основний те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кст пр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отоколу викладається по розділах: “Слухали”, “Виступили”, “Постановили”.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ідписи голови та секретаря засідання на протоколі є обов’язковими.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3.27. Акт – документ, складений декількома особами і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ідтверджуючий установлені факти і дії. Акти оформляються за результатом ревізій, при прийомі-передачі справ, прийомі навчального закладу до роботи у новому навчальному році, прийомі обладнання, меблів, підручників тощо.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3.28. Акт оформляється на стандартному аркуші паперу формату А4 і має такі реквізити: назва документу, місце затвердження, заголовок до тексту,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ідпис осіб (не менше трьох), які складали акт. У кінці тексту акта записуються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дан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 про кількість екземплярів акта та їх місце знаходження.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3.29. Акт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ідписується всіма особами, які брали участь у його складанні.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При наявності особливих думок у складачів акта або присутніх ї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х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треба викладати нижче або на окремому аркуші.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3.30. Доповідна записка оформляється на стандартному папері формату А4 з вказівкою таких реквізитів: назва виду документа, адресат, дата, заголовок до тексту, текст,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ідпис. Дата чи період часу, до якого відносяться відомості, викладені у доповідній записці, входять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заголовок.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3.31. Для оперативного вирішення службових питань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дозволяється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передача телефонограм. Телефонограми оформляються в одному екземплярі, їх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ідписує керівник. Реєструються телефонограми в установленому порядку.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3.32. Службові листи служать для обміну інформацією. Основні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ізновидності листів:</w:t>
      </w:r>
    </w:p>
    <w:p w:rsidR="004F5622" w:rsidRPr="004F5622" w:rsidRDefault="004F5622" w:rsidP="004F5622">
      <w:pPr>
        <w:spacing w:after="0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супровідний;</w:t>
      </w:r>
      <w:r w:rsidRPr="004F5622">
        <w:rPr>
          <w:rFonts w:eastAsia="Times New Roman" w:cs="Times New Roman"/>
          <w:sz w:val="24"/>
          <w:szCs w:val="24"/>
          <w:lang w:eastAsia="ru-RU"/>
        </w:rPr>
        <w:br/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гарантійний;</w:t>
      </w:r>
      <w:r w:rsidRPr="004F5622">
        <w:rPr>
          <w:rFonts w:eastAsia="Times New Roman" w:cs="Times New Roman"/>
          <w:sz w:val="24"/>
          <w:szCs w:val="24"/>
          <w:lang w:eastAsia="ru-RU"/>
        </w:rPr>
        <w:br/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інформаційний;</w:t>
      </w:r>
      <w:r w:rsidRPr="004F5622">
        <w:rPr>
          <w:rFonts w:eastAsia="Times New Roman" w:cs="Times New Roman"/>
          <w:sz w:val="24"/>
          <w:szCs w:val="24"/>
          <w:lang w:eastAsia="ru-RU"/>
        </w:rPr>
        <w:br/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лист-нагадування;</w:t>
      </w:r>
      <w:r w:rsidRPr="004F5622">
        <w:rPr>
          <w:rFonts w:eastAsia="Times New Roman" w:cs="Times New Roman"/>
          <w:sz w:val="24"/>
          <w:szCs w:val="24"/>
          <w:lang w:eastAsia="ru-RU"/>
        </w:rPr>
        <w:br/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лист-запрошення;</w:t>
      </w:r>
      <w:r w:rsidRPr="004F5622">
        <w:rPr>
          <w:rFonts w:eastAsia="Times New Roman" w:cs="Times New Roman"/>
          <w:sz w:val="24"/>
          <w:szCs w:val="24"/>
          <w:lang w:eastAsia="ru-RU"/>
        </w:rPr>
        <w:br/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лист-прохання;</w:t>
      </w:r>
      <w:r w:rsidRPr="004F5622">
        <w:rPr>
          <w:rFonts w:eastAsia="Times New Roman" w:cs="Times New Roman"/>
          <w:sz w:val="24"/>
          <w:szCs w:val="24"/>
          <w:lang w:eastAsia="ru-RU"/>
        </w:rPr>
        <w:br/>
      </w: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- лист-вимога.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3.33. Службові листи оформляються на бланках для листів або папері формату А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і А5 в залежності від об’єму машинописного тексту.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Всі листи, що надсилаються з навчального закладу, обов’язково реєструються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журналі вихідного листування.</w:t>
      </w:r>
    </w:p>
    <w:p w:rsidR="004F5622" w:rsidRPr="004F5622" w:rsidRDefault="004F5622" w:rsidP="004F5622">
      <w:pPr>
        <w:spacing w:after="0"/>
        <w:ind w:firstLine="709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3.34. Склад реквізитів службових документів (бланків, наказів, довідок): Державний Герб України (порядок використання визначається законом), найменування міністерства, іншого центрального (місцевого) органу виконавчої влади, найменування загальноосвітнього навчального закладу, ідентифікаційний код, індекс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ідприємства зв’язку, поштова адреса, номер телефону, номер рахунку в банку, назва виду документа, дата, індекс, посилання на дату та індекс вхідного документа.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4. Перелік обов’язкової ділової документації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4.1. Ліцензія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на право проведення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освітньої діяльності загальноосвітнім навчальним закладом (стосується тільки приватних загальноосвітніх навчальних закладів).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4.2. Ліцензія на запровадження освітньої діяльності,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пов’язано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ї з наданням професії.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4.3.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Матер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іали державної атестації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4.4.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ідоцтво про державну атестацію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4.5. Матеріали державної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ідсумкової атестації учнів (вихованців).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4.6. Статут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4.7. Книга наказів з основної діяльності.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4.8. Книга наказів з кадрових питань.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4.9.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руху учнів.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4.10. Алфавітна книга запису учні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4.11. Журнали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вхідного і вихідного листування.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4.12. Книга протоколів засідання педагогічної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ради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4.13.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педагогічних працівників.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4.14.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трудових книжок працівників.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4.15.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і видачі свідоцтв про базову загальну середню освіту.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4.16.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і видачі атестатів про повну загальну середню освіту.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4.17.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і видачі Похвальних листів і Похвальних грамот.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4.18.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наслідків внутрішкільного контролю (ведуть директор та його заступники).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4.19. Книга протоколів загальних зборів (конференції) колективу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4.20. Книга протоколі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ради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4.21. Книга протоколів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іклувальної ради, батьківського комітету та учнівського комітету (якщо такі створені).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4.22. Класні журнали (1 – 4 класи, 5 – 9 класи, 10 – 12 класи).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4.23. Журнали груп продовженого дня.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4.24. Журнали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пропущених і заміщених уроків.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4.25. Журнали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роботи гуртка, факультативу, секції тощо.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4.26. Журнал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звернень та заяв громадян.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4.27. Контрольно-візитаційна книга.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4.28. Особові справи та медичні картки учні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4.29. Особові справи педагогічних працівникі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4.30. Табелі успішності учнів.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4.31. План роботи на поточний навчальний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4.32. Перспективне прогнозування розвитку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матер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іально-технічної бази, кадрового забезпечення та навчально-виховного процесу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4.33. Навчальні плани та навчальні програми.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4.34. Атестаційні матеріали педагогічних працівникі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4.35. Списки первинного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дітей, які підлягають навчанню.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4.36. Учнівські квитки для учнів 1 – 4, 5 – 9 та 10 – 12 класі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4.37. Статистична звітність (форми N ЗНЗ-1, N ЗНЗ-3, N 83-РВК та інші) ведеться відповідно до вимог та рекомендацій органів державної статистики.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4.38. Нормативно-правова документація з питань охорони праці та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техн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іки безпеки ведеться відповідно до вимог Кодексу законів про працю України ( 322-08 ), нормативно-правових актів Міністерства праці та соціальної політики України, Міністерства освіти і науки України.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4.39. Конституція України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( 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254к/96-вр ), Закони України “Про освіту” ( 1060-12 ) та “Про загальну середню освіту” ( 651-14 ).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4.40. Нормативно-правова документація Міністерства освіти і науки України та місцевих органів управління освітою з питань організації навчально-виховного процесу у загальноосвітніх навчальних закладах.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4.41. Акти прийому-передачі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4.42. Акти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державного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інспектування загальноосвітнього навчального закладу.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4.43. Трудові книжки працівників ведуться відповідно до Інструкції про порядок ведення трудових книжок на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ідприємствах, в установах і організаціях (наказ Мінпраці, Мінюсту, Мінсоцзахисту України від 29 липня 1993 року N 58 ( z0110-93 ).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4.44. При необхідності Міністерство освіти і науки України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,м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ісцеві органи управління освітою можуть встановлювати додаткову відомчу звітність, інформацію (одноразову або постійну).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4.45. Розклад урокі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для учнів 1 – 4 класів та 5 – 11 (12) класів.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4.46. Графік роботи гуртків, секцій, об’єднань тощо.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4.47. Графік проведення позакласних заході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4.48. Типові правила внутрішнього розпорядку для працівників державних навчально-виховних закладів України.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4.49. Наочність з Правил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техн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іки безпеки, пожежної безпеки тощо.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5. Основна фінансово-господарська документація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5.1.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Техн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ічний паспорт школи.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5.2. Інвентарні списки основних засобі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5.3. Акт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на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відведення і закріплення земельної ділянки.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5.4. Книга складського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матеріалів.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5.5.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бібліотечного фонду.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5.6. Відомості на видачу витратних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матер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іалів.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5.7. Відомості оперативного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малоцінних та швидкозношувальних матеріалів, що знаходяться в експлуатації.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5.8. Штатний розпис загальноосвітнього навчального закладу.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5.9. Акти ревізій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та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перевірки фінансово-господарської діяльності.</w:t>
      </w:r>
    </w:p>
    <w:p w:rsidR="004F5622" w:rsidRPr="004F5622" w:rsidRDefault="004F5622" w:rsidP="004F5622">
      <w:pPr>
        <w:spacing w:after="0"/>
        <w:ind w:firstLine="709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5.10. Організація діяльності бухгалтерій та бухгалтерський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 здійснюється і ведеться відповідно до нормативно-правових документів Мінфіну України та Міносвіти і науки України.</w:t>
      </w:r>
    </w:p>
    <w:p w:rsidR="004F5622" w:rsidRPr="004F5622" w:rsidRDefault="004F5622" w:rsidP="004F5622">
      <w:pPr>
        <w:spacing w:after="0"/>
        <w:ind w:firstLine="708"/>
        <w:jc w:val="left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b/>
          <w:bCs/>
          <w:color w:val="000000"/>
          <w:sz w:val="29"/>
          <w:szCs w:val="29"/>
          <w:lang w:eastAsia="ru-RU"/>
        </w:rPr>
        <w:t>6. Терміни зберігання ділової документації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і видачі свідоцтва про базову – 75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середню освіту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2.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й видачі атестатів про повну – 75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загальну середню освіту 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3. Книга наказів з основної діяльності – 50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4. Книга наказів з кадрових питань – 50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5. Алфавітна книга запису учнів – 50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6.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педагогічних працівників – 50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7.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трудових книжок працівників – 50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8. Книга протоколів засідання педагогічної – 25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ради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9. Книга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і видачі Похвальних листів – 25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 Похвальних грамот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10. Класні журнали випускних класів – 10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11. Контрольно-візитаційна книга – 10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12. Класні журнали – 5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13. Журнали груп продовженого дня – 5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14. Журнали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пропущених і замінених – 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15. Особові справи учнів (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ісля закінчення – 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школи)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16. Журнали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обл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іку вхідного і вихідного – 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листування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17. Атестаційні матеріали педагогічних – 5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працівників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18. Книга записів наслідків внутрішнього – 5 рокі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</w:t>
      </w:r>
      <w:proofErr w:type="gramEnd"/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контролю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19. Акти перевірок (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ізні) – 5 років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20. Матеріали державної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ідсумкової атестації – 3 роки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учнів (вихованців) випускних класів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(письмові роботи, протоколи)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21. Контрольні роботи учнів – 1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ік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22. Статистична звітність – відповідно до вимог держстату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23. Інвентарна книга біблі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отечного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фонду – до ліквідації закладу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Єдиним документом у плануванні роботи школи є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ічний план. Він складається за участю педагогічного колективу, громадських організацій, відображає найголовніші питання діяльності школи, в обов’язковому порядку обговорюється педагогічною радою.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ічний план має виходити з глибокого аналізу діяльності педагогічного і учнівського колективів і орієнтувати їх на досягнення кінцевого результату у навчально-виховному процесі.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Розділи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ічного плану доцільно привести у відповідність до структури Закону України “Про загальну середню освіту” ( 651-14 ).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Організації виконання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ічного плану служить особисте тижневе планування роботи керівників школи.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lastRenderedPageBreak/>
        <w:t xml:space="preserve">Календарне планування навчального матеріалу здійснюється вчителем безпосередньо у навчальних програмах.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На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 основі календарних вчителі розробляють поурочні плани, структура і форма яких визначається ними самостійно.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Поурочний план може бути складений у вигляді конспекту, тез, таблиці тощо.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Плани роботи класних керівників, вихователів, бібліотекарів, методичних об’єднань, гуртків, спортивних секцій тощо складаються на період, визначений педагогічним колективом,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в дов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ільній формі і узгоджується з заступником директора з навчально-виховної роботи.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Планування роботи у загальноосвітньому навчальному закладі не виключають право керівників, педагогічного колективу на творчість,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р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ізноваріантність у виборі форм і структури планів. Вони повинні бути стислими, конкретними, лаконічними, передбачати заходи, які обов’язково мають бути виконаними і які можна контролювати.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Навчально-виховний процес у загальноосвітньому навчальному закладі регламентується розкладом уроків та позакласних занять на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івріччя, які мають забезпечити рівномірне навантаження учнів та раціональну організацію праці педагогічного колективу.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У 9 – 11 (12) класах необхідно практикувати здвоєні уроки з предметів, у процесі викладання яких проводяться лекції, семінарські заняття, заліки, лабораторні і практичні роботи.</w:t>
      </w:r>
    </w:p>
    <w:p w:rsidR="004F5622" w:rsidRPr="004F5622" w:rsidRDefault="004F5622" w:rsidP="004F5622">
      <w:pPr>
        <w:spacing w:after="0"/>
        <w:ind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 xml:space="preserve">Факультативні заняття, роботу гуртків, секцій, позакласні заходи тощо слід планувати у дні з найменшою кількістю уроків з обов’язковою перервою </w:t>
      </w:r>
      <w:proofErr w:type="gramStart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п</w:t>
      </w:r>
      <w:proofErr w:type="gramEnd"/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ісля основних занять.</w:t>
      </w:r>
    </w:p>
    <w:p w:rsidR="004F5622" w:rsidRPr="004F5622" w:rsidRDefault="004F5622" w:rsidP="004F5622">
      <w:pPr>
        <w:spacing w:after="240"/>
        <w:jc w:val="left"/>
        <w:rPr>
          <w:rFonts w:eastAsia="Times New Roman" w:cs="Times New Roman"/>
          <w:sz w:val="24"/>
          <w:szCs w:val="24"/>
          <w:lang w:eastAsia="ru-RU"/>
        </w:rPr>
      </w:pPr>
    </w:p>
    <w:p w:rsidR="004F5622" w:rsidRPr="004F5622" w:rsidRDefault="004F5622" w:rsidP="004F5622">
      <w:pPr>
        <w:spacing w:after="0"/>
        <w:ind w:left="2832" w:firstLine="708"/>
        <w:rPr>
          <w:rFonts w:eastAsia="Times New Roman" w:cs="Times New Roman"/>
          <w:sz w:val="24"/>
          <w:szCs w:val="24"/>
          <w:lang w:eastAsia="ru-RU"/>
        </w:rPr>
      </w:pPr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“Інформаційний збірник Міністерства</w:t>
      </w:r>
    </w:p>
    <w:p w:rsidR="00F03A91" w:rsidRDefault="004F5622" w:rsidP="004F5622">
      <w:r w:rsidRPr="004F5622">
        <w:rPr>
          <w:rFonts w:eastAsia="Times New Roman" w:cs="Times New Roman"/>
          <w:color w:val="000000"/>
          <w:sz w:val="29"/>
          <w:szCs w:val="29"/>
          <w:lang w:eastAsia="ru-RU"/>
        </w:rPr>
        <w:t>освіти і науки України”, N 17\2000</w:t>
      </w:r>
    </w:p>
    <w:sectPr w:rsidR="00F03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5622"/>
    <w:rsid w:val="00232815"/>
    <w:rsid w:val="004F5622"/>
    <w:rsid w:val="00B135FD"/>
    <w:rsid w:val="00B51D93"/>
    <w:rsid w:val="00F03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1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6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2815"/>
    <w:pPr>
      <w:spacing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F5622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0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3228</Words>
  <Characters>18404</Characters>
  <Application>Microsoft Office Word</Application>
  <DocSecurity>0</DocSecurity>
  <Lines>153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21589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Анастасия</cp:lastModifiedBy>
  <cp:revision>2</cp:revision>
  <dcterms:created xsi:type="dcterms:W3CDTF">2013-07-30T21:47:00Z</dcterms:created>
  <dcterms:modified xsi:type="dcterms:W3CDTF">2013-07-30T21:47:00Z</dcterms:modified>
</cp:coreProperties>
</file>